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rPr>
          <w:rFonts w:hint="eastAsia" w:ascii="方正黑体_GBK" w:eastAsia="方正黑体_GBK"/>
          <w:sz w:val="32"/>
          <w:szCs w:val="32"/>
        </w:rPr>
      </w:pPr>
      <w:r>
        <w:rPr>
          <w:rFonts w:hint="eastAsia" w:ascii="方正黑体_GBK" w:eastAsia="方正黑体_GBK"/>
          <w:sz w:val="32"/>
          <w:szCs w:val="32"/>
        </w:rPr>
        <w:t>附件</w:t>
      </w:r>
    </w:p>
    <w:p>
      <w:pPr>
        <w:spacing w:line="564" w:lineRule="exact"/>
        <w:rPr>
          <w:rFonts w:hint="eastAsia" w:eastAsia="方正仿宋_GBK"/>
          <w:sz w:val="32"/>
          <w:szCs w:val="32"/>
        </w:rPr>
      </w:pPr>
    </w:p>
    <w:p>
      <w:pPr>
        <w:spacing w:line="564" w:lineRule="exact"/>
        <w:jc w:val="center"/>
        <w:rPr>
          <w:rFonts w:hint="eastAsia" w:ascii="方正小标宋_GBK" w:eastAsia="方正小标宋_GBK"/>
          <w:sz w:val="44"/>
          <w:szCs w:val="44"/>
        </w:rPr>
      </w:pPr>
      <w:r>
        <w:rPr>
          <w:rFonts w:hint="eastAsia" w:ascii="方正小标宋_GBK" w:eastAsia="方正小标宋_GBK"/>
          <w:sz w:val="44"/>
          <w:szCs w:val="44"/>
        </w:rPr>
        <w:t>玉溪市对接RCEP行动计划任务清单</w:t>
      </w:r>
    </w:p>
    <w:p>
      <w:pPr>
        <w:spacing w:line="590" w:lineRule="exact"/>
        <w:rPr>
          <w:rFonts w:hint="eastAsia" w:eastAsia="方正仿宋_GBK"/>
          <w:sz w:val="32"/>
          <w:szCs w:val="32"/>
        </w:rPr>
      </w:pPr>
    </w:p>
    <w:tbl>
      <w:tblPr>
        <w:tblStyle w:val="4"/>
        <w:tblW w:w="9179" w:type="dxa"/>
        <w:jc w:val="center"/>
        <w:tblInd w:w="0" w:type="dxa"/>
        <w:tblLayout w:type="fixed"/>
        <w:tblCellMar>
          <w:top w:w="0" w:type="dxa"/>
          <w:left w:w="108" w:type="dxa"/>
          <w:bottom w:w="0" w:type="dxa"/>
          <w:right w:w="108" w:type="dxa"/>
        </w:tblCellMar>
      </w:tblPr>
      <w:tblGrid>
        <w:gridCol w:w="927"/>
        <w:gridCol w:w="517"/>
        <w:gridCol w:w="992"/>
        <w:gridCol w:w="2552"/>
        <w:gridCol w:w="1390"/>
        <w:gridCol w:w="2801"/>
      </w:tblGrid>
      <w:tr>
        <w:tblPrEx>
          <w:tblLayout w:type="fixed"/>
          <w:tblCellMar>
            <w:top w:w="0" w:type="dxa"/>
            <w:left w:w="108" w:type="dxa"/>
            <w:bottom w:w="0" w:type="dxa"/>
            <w:right w:w="108" w:type="dxa"/>
          </w:tblCellMar>
        </w:tblPrEx>
        <w:trPr>
          <w:trHeight w:val="300" w:hRule="atLeast"/>
          <w:tblHeader/>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领域</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重点</w:t>
            </w:r>
          </w:p>
          <w:p>
            <w:pPr>
              <w:spacing w:line="360" w:lineRule="exact"/>
              <w:jc w:val="center"/>
              <w:rPr>
                <w:rFonts w:hint="eastAsia" w:ascii="方正黑体_GBK" w:eastAsia="方正黑体_GBK"/>
                <w:sz w:val="22"/>
                <w:szCs w:val="21"/>
              </w:rPr>
            </w:pPr>
            <w:r>
              <w:rPr>
                <w:rFonts w:hint="eastAsia" w:ascii="方正黑体_GBK" w:eastAsia="方正黑体_GBK"/>
                <w:sz w:val="22"/>
                <w:szCs w:val="21"/>
              </w:rPr>
              <w:t>任务</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主要内容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完成时限</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黑体_GBK" w:eastAsia="方正黑体_GBK"/>
                <w:sz w:val="22"/>
                <w:szCs w:val="21"/>
              </w:rPr>
            </w:pPr>
            <w:r>
              <w:rPr>
                <w:rFonts w:hint="eastAsia" w:ascii="方正黑体_GBK" w:eastAsia="方正黑体_GBK"/>
                <w:sz w:val="22"/>
                <w:szCs w:val="21"/>
              </w:rPr>
              <w:t>责任单位</w:t>
            </w:r>
          </w:p>
        </w:tc>
      </w:tr>
      <w:tr>
        <w:tblPrEx>
          <w:tblLayout w:type="fixed"/>
          <w:tblCellMar>
            <w:top w:w="0" w:type="dxa"/>
            <w:left w:w="108" w:type="dxa"/>
            <w:bottom w:w="0" w:type="dxa"/>
            <w:right w:w="108" w:type="dxa"/>
          </w:tblCellMar>
        </w:tblPrEx>
        <w:trPr>
          <w:trHeight w:val="2499"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（一）深化与东盟国家贸易合作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扩大重点商品出口</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eastAsia="方正仿宋_GBK"/>
                <w:sz w:val="22"/>
                <w:szCs w:val="21"/>
              </w:rPr>
            </w:pPr>
            <w:r>
              <w:rPr>
                <w:rFonts w:eastAsia="方正仿宋_GBK"/>
                <w:sz w:val="22"/>
                <w:szCs w:val="21"/>
              </w:rPr>
              <w:t>1．</w:t>
            </w:r>
            <w:r>
              <w:rPr>
                <w:rFonts w:eastAsia="方正仿宋_GBK"/>
                <w:spacing w:val="-6"/>
                <w:sz w:val="22"/>
                <w:szCs w:val="21"/>
              </w:rPr>
              <w:t>优</w:t>
            </w:r>
            <w:r>
              <w:rPr>
                <w:rFonts w:eastAsia="方正仿宋_GBK"/>
                <w:sz w:val="22"/>
                <w:szCs w:val="21"/>
              </w:rPr>
              <w:t>化出口管理和服务水平，降低外贸企业经营成本。</w:t>
            </w:r>
          </w:p>
          <w:p>
            <w:pPr>
              <w:spacing w:line="340" w:lineRule="exact"/>
              <w:rPr>
                <w:rFonts w:eastAsia="方正仿宋_GBK"/>
                <w:sz w:val="22"/>
                <w:szCs w:val="21"/>
              </w:rPr>
            </w:pPr>
            <w:r>
              <w:rPr>
                <w:rFonts w:eastAsia="方正仿宋_GBK"/>
                <w:sz w:val="22"/>
                <w:szCs w:val="21"/>
              </w:rPr>
              <w:t>2．进一步扩大水果、蔬菜、坚果、花卉、中药材、食用菌罐头、松茸等出口，加大机电产品、化工产品、金属制品等出口。</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pacing w:val="4"/>
                <w:sz w:val="22"/>
                <w:szCs w:val="21"/>
              </w:rPr>
            </w:pPr>
            <w:r>
              <w:rPr>
                <w:rFonts w:eastAsia="方正仿宋_GBK"/>
                <w:spacing w:val="4"/>
                <w:sz w:val="22"/>
                <w:szCs w:val="21"/>
              </w:rPr>
              <w:t>牵头单位：市商务局；配合单位：市工业和信息化局、市农业农村局、市税务局、玉溪海关、人民银行玉溪市中心支行、玉溪高新区管委会，各县（市、区）人民政府</w:t>
            </w:r>
          </w:p>
        </w:tc>
      </w:tr>
      <w:tr>
        <w:tblPrEx>
          <w:tblLayout w:type="fixed"/>
          <w:tblCellMar>
            <w:top w:w="0" w:type="dxa"/>
            <w:left w:w="108" w:type="dxa"/>
            <w:bottom w:w="0" w:type="dxa"/>
            <w:right w:w="108" w:type="dxa"/>
          </w:tblCellMar>
        </w:tblPrEx>
        <w:trPr>
          <w:trHeight w:val="168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扩大重点商品进口</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支持企业扩大水果、水产品、金属矿砂、替代种植产品返销进口。</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牵头单位：市商务局；配合单位：市工业和信息化局、市农业农村局、玉溪海关、玉溪高新区管委会，各县（市、区）人民政府</w:t>
            </w:r>
          </w:p>
        </w:tc>
      </w:tr>
      <w:tr>
        <w:tblPrEx>
          <w:tblLayout w:type="fixed"/>
          <w:tblCellMar>
            <w:top w:w="0" w:type="dxa"/>
            <w:left w:w="108" w:type="dxa"/>
            <w:bottom w:w="0" w:type="dxa"/>
            <w:right w:w="108" w:type="dxa"/>
          </w:tblCellMar>
        </w:tblPrEx>
        <w:trPr>
          <w:trHeight w:val="1680"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（二）挖掘与日韩澳新贸易潜力</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支持扩大重点商品出口</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加大蔬菜、水果、食用菌罐头、松茸等高原特色农产品出口。</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牵头单位：市商务局；配合单位：市工业和信息化局、市农业农村局、玉溪海关、玉溪高新区管委会，各县（市、区）人民政府</w:t>
            </w:r>
          </w:p>
        </w:tc>
      </w:tr>
      <w:tr>
        <w:tblPrEx>
          <w:tblLayout w:type="fixed"/>
          <w:tblCellMar>
            <w:top w:w="0" w:type="dxa"/>
            <w:left w:w="108" w:type="dxa"/>
            <w:bottom w:w="0" w:type="dxa"/>
            <w:right w:w="108" w:type="dxa"/>
          </w:tblCellMar>
        </w:tblPrEx>
        <w:trPr>
          <w:trHeight w:val="144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加强国际营销服务网络建设</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推动农产品出口企业</w:t>
            </w:r>
            <w:r>
              <w:rPr>
                <w:rFonts w:hint="eastAsia" w:ascii="方正仿宋_GBK" w:hAnsi="方正仿宋_GBK" w:eastAsia="方正仿宋_GBK" w:cs="方正仿宋_GBK"/>
                <w:sz w:val="22"/>
                <w:szCs w:val="21"/>
              </w:rPr>
              <w:t>“走出去”，建设</w:t>
            </w:r>
            <w:r>
              <w:rPr>
                <w:rFonts w:eastAsia="方正仿宋_GBK"/>
                <w:sz w:val="22"/>
                <w:szCs w:val="21"/>
              </w:rPr>
              <w:t>境外营销服务网点，扩大与日韩澳新农产品贸易规模。</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牵头单位：市商务局；市工业和信息化局、市农业农村局、玉溪高新区管委会，各县（市、区）人民政府</w:t>
            </w:r>
          </w:p>
        </w:tc>
      </w:tr>
      <w:tr>
        <w:tblPrEx>
          <w:tblLayout w:type="fixed"/>
          <w:tblCellMar>
            <w:top w:w="0" w:type="dxa"/>
            <w:left w:w="108" w:type="dxa"/>
            <w:bottom w:w="0" w:type="dxa"/>
            <w:right w:w="108" w:type="dxa"/>
          </w:tblCellMar>
        </w:tblPrEx>
        <w:trPr>
          <w:trHeight w:val="168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鼓励企业进口重点商品</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鼓励企业进口日韩食品、医药、美妆、家电等日用消费品和精细化工、先进技术和设备、零部件，澳新金属矿砂、乳制品等。</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pacing w:val="4"/>
                <w:sz w:val="22"/>
                <w:szCs w:val="21"/>
              </w:rPr>
              <w:t>牵头单位：市商务局；配合单位：市工业和信息化局、玉溪海关、玉溪高新区管委会，各县（市、区）人民政府</w:t>
            </w:r>
          </w:p>
        </w:tc>
      </w:tr>
      <w:tr>
        <w:tblPrEx>
          <w:tblLayout w:type="fixed"/>
          <w:tblCellMar>
            <w:top w:w="0" w:type="dxa"/>
            <w:left w:w="108" w:type="dxa"/>
            <w:bottom w:w="0" w:type="dxa"/>
            <w:right w:w="108" w:type="dxa"/>
          </w:tblCellMar>
        </w:tblPrEx>
        <w:trPr>
          <w:trHeight w:val="1440"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（三）加大贸易主体培育和市场开拓力度</w:t>
            </w:r>
          </w:p>
        </w:tc>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6</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加大外贸主体培育</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pacing w:val="4"/>
                <w:sz w:val="22"/>
                <w:szCs w:val="21"/>
              </w:rPr>
            </w:pPr>
            <w:r>
              <w:rPr>
                <w:rFonts w:eastAsia="方正仿宋_GBK"/>
                <w:spacing w:val="4"/>
                <w:sz w:val="22"/>
                <w:szCs w:val="21"/>
              </w:rPr>
              <w:t>出台《玉溪市2022年促进外贸稳增长工作要点》、《玉溪市推进对外贸易高质量发展三年行动实施方案（2022</w:t>
            </w:r>
            <w:r>
              <w:rPr>
                <w:rFonts w:hint="eastAsia" w:eastAsia="方正仿宋_GBK"/>
                <w:spacing w:val="4"/>
                <w:sz w:val="22"/>
                <w:szCs w:val="21"/>
              </w:rPr>
              <w:t>—</w:t>
            </w:r>
            <w:r>
              <w:rPr>
                <w:rFonts w:eastAsia="方正仿宋_GBK"/>
                <w:spacing w:val="4"/>
                <w:sz w:val="22"/>
                <w:szCs w:val="21"/>
              </w:rPr>
              <w:t>2024年）》</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1．2022年8月底前</w:t>
            </w:r>
            <w:r>
              <w:rPr>
                <w:rFonts w:eastAsia="方正仿宋_GBK"/>
                <w:sz w:val="22"/>
                <w:szCs w:val="21"/>
              </w:rPr>
              <w:br w:type="textWrapping"/>
            </w:r>
            <w:r>
              <w:rPr>
                <w:rFonts w:eastAsia="方正仿宋_GBK"/>
                <w:sz w:val="22"/>
                <w:szCs w:val="21"/>
              </w:rPr>
              <w:t>2．2022年底前</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市商务局</w:t>
            </w:r>
          </w:p>
        </w:tc>
      </w:tr>
      <w:tr>
        <w:tblPrEx>
          <w:tblLayout w:type="fixed"/>
          <w:tblCellMar>
            <w:top w:w="0" w:type="dxa"/>
            <w:left w:w="108" w:type="dxa"/>
            <w:bottom w:w="0" w:type="dxa"/>
            <w:right w:w="108" w:type="dxa"/>
          </w:tblCellMar>
        </w:tblPrEx>
        <w:trPr>
          <w:trHeight w:val="804"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pacing w:val="4"/>
                <w:sz w:val="22"/>
                <w:szCs w:val="21"/>
              </w:rPr>
            </w:pPr>
            <w:r>
              <w:rPr>
                <w:rFonts w:eastAsia="方正仿宋_GBK"/>
                <w:spacing w:val="4"/>
                <w:sz w:val="22"/>
                <w:szCs w:val="21"/>
              </w:rPr>
              <w:t>出台《玉溪市水果出口行业税收管理规范指引（试行）》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2022年8月底前</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市税务局</w:t>
            </w:r>
          </w:p>
        </w:tc>
      </w:tr>
      <w:tr>
        <w:tblPrEx>
          <w:tblLayout w:type="fixed"/>
          <w:tblCellMar>
            <w:top w:w="0" w:type="dxa"/>
            <w:left w:w="108" w:type="dxa"/>
            <w:bottom w:w="0" w:type="dxa"/>
            <w:right w:w="108" w:type="dxa"/>
          </w:tblCellMar>
        </w:tblPrEx>
        <w:trPr>
          <w:trHeight w:val="144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推进外贸转型升级基地建设，提升基地公共服务配套能力和龙头企业国际化经营能力，促进贸易主体集聚发展。</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牵头单位：市商务局；配合单位：玉溪高新区管委会，有关县（市、区）人民政府</w:t>
            </w:r>
          </w:p>
        </w:tc>
      </w:tr>
      <w:tr>
        <w:tblPrEx>
          <w:tblLayout w:type="fixed"/>
          <w:tblCellMar>
            <w:top w:w="0" w:type="dxa"/>
            <w:left w:w="108" w:type="dxa"/>
            <w:bottom w:w="0" w:type="dxa"/>
            <w:right w:w="108" w:type="dxa"/>
          </w:tblCellMar>
        </w:tblPrEx>
        <w:trPr>
          <w:trHeight w:val="184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pacing w:val="-2"/>
                <w:sz w:val="22"/>
                <w:szCs w:val="21"/>
              </w:rPr>
            </w:pPr>
            <w:r>
              <w:rPr>
                <w:rFonts w:eastAsia="方正仿宋_GBK"/>
                <w:spacing w:val="-2"/>
                <w:sz w:val="22"/>
                <w:szCs w:val="21"/>
              </w:rPr>
              <w:t>吸引境内外具有较强国际经营能力和海外市场优势的市场主体落地玉溪。</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牵头单位：市商务局；配合单位：市投资促进局、玉溪市贸促会、玉溪海关、玉溪高新区管委会，各县（市、区）人民政府</w:t>
            </w:r>
          </w:p>
        </w:tc>
      </w:tr>
      <w:tr>
        <w:tblPrEx>
          <w:tblLayout w:type="fixed"/>
          <w:tblCellMar>
            <w:top w:w="0" w:type="dxa"/>
            <w:left w:w="108" w:type="dxa"/>
            <w:bottom w:w="0" w:type="dxa"/>
            <w:right w:w="108" w:type="dxa"/>
          </w:tblCellMar>
        </w:tblPrEx>
        <w:trPr>
          <w:trHeight w:val="1920"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提升外贸企业</w:t>
            </w:r>
            <w:r>
              <w:rPr>
                <w:rFonts w:hint="eastAsia" w:ascii="方正仿宋_GBK" w:eastAsia="方正仿宋_GBK"/>
                <w:sz w:val="22"/>
                <w:szCs w:val="21"/>
              </w:rPr>
              <w:t>“拓市场、抢订单”</w:t>
            </w:r>
            <w:r>
              <w:rPr>
                <w:rFonts w:eastAsia="方正仿宋_GBK"/>
                <w:sz w:val="22"/>
                <w:szCs w:val="21"/>
              </w:rPr>
              <w:t>能力</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常态化开展各类业务培训</w:t>
            </w:r>
            <w:r>
              <w:rPr>
                <w:rFonts w:eastAsia="方正仿宋_GBK"/>
                <w:spacing w:val="4"/>
                <w:sz w:val="22"/>
                <w:szCs w:val="21"/>
              </w:rPr>
              <w:t>，指导外贸企业精准对接RCEP国家市场需求，因国施策、扬长避短、借位发展，加大重点市场、重点行业、重点</w:t>
            </w:r>
            <w:r>
              <w:rPr>
                <w:rFonts w:eastAsia="方正仿宋_GBK"/>
                <w:sz w:val="22"/>
                <w:szCs w:val="21"/>
              </w:rPr>
              <w:t>商品出口。</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牵头单位：市商务局；配合单位：市投资促进局、玉溪市贸促会、市税务局、玉溪海关、人民银行玉溪市中心支行、玉溪高新区管委会，各县（市、区）人民政府</w:t>
            </w:r>
          </w:p>
        </w:tc>
      </w:tr>
      <w:tr>
        <w:tblPrEx>
          <w:tblLayout w:type="fixed"/>
          <w:tblCellMar>
            <w:top w:w="0" w:type="dxa"/>
            <w:left w:w="108" w:type="dxa"/>
            <w:bottom w:w="0" w:type="dxa"/>
            <w:right w:w="108" w:type="dxa"/>
          </w:tblCellMar>
        </w:tblPrEx>
        <w:trPr>
          <w:trHeight w:val="192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（四）加快发展服务贸易</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运用RCEP服务贸易规则，推进服务贸易转型升级</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积极推动与RCEP各国的旅游、运输合作，发展文化、教育、中医药、餐饮等服务贸易，探索大数据商品的交易和运用。</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eastAsia="方正仿宋_GBK"/>
                <w:sz w:val="22"/>
                <w:szCs w:val="21"/>
              </w:rPr>
            </w:pPr>
            <w:r>
              <w:rPr>
                <w:rFonts w:eastAsia="方正仿宋_GBK"/>
                <w:sz w:val="22"/>
                <w:szCs w:val="21"/>
              </w:rPr>
              <w:t>牵头单位：市商务局；配合单位：市委网信办、市教育体育局、市交通运输局、市文化和旅游局、市卫生健康委、玉溪高新区管委会，各县（市、区）人民政府</w:t>
            </w:r>
          </w:p>
        </w:tc>
      </w:tr>
      <w:tr>
        <w:tblPrEx>
          <w:tblLayout w:type="fixed"/>
          <w:tblCellMar>
            <w:top w:w="0" w:type="dxa"/>
            <w:left w:w="108" w:type="dxa"/>
            <w:bottom w:w="0" w:type="dxa"/>
            <w:right w:w="108" w:type="dxa"/>
          </w:tblCellMar>
        </w:tblPrEx>
        <w:trPr>
          <w:trHeight w:val="2160"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（五）加大吸引外资力度</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建立针对RCEP国家的招商项目库和企业清单</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1．结合玉溪产业发展优势和特色，精准策划包装一批招商项目。</w:t>
            </w:r>
            <w:r>
              <w:rPr>
                <w:rFonts w:eastAsia="方正仿宋_GBK"/>
                <w:sz w:val="22"/>
                <w:szCs w:val="21"/>
              </w:rPr>
              <w:br w:type="textWrapping"/>
            </w:r>
            <w:r>
              <w:rPr>
                <w:rFonts w:eastAsia="方正仿宋_GBK"/>
                <w:sz w:val="22"/>
                <w:szCs w:val="21"/>
              </w:rPr>
              <w:t>2．梳理RCEP成员国</w:t>
            </w:r>
            <w:r>
              <w:rPr>
                <w:rFonts w:hint="eastAsia" w:ascii="方正仿宋_GBK" w:eastAsia="方正仿宋_GBK"/>
                <w:sz w:val="22"/>
                <w:szCs w:val="21"/>
              </w:rPr>
              <w:t>“隐形冠军”企业和</w:t>
            </w:r>
            <w:r>
              <w:rPr>
                <w:rFonts w:eastAsia="方正仿宋_GBK"/>
                <w:sz w:val="22"/>
                <w:szCs w:val="21"/>
              </w:rPr>
              <w:t>产业链龙头企业清单。</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牵头单位：市商务局、市投资促进局；配合单位：市发展改革委、市工业和信息化局、市科技局、市农业农村局、市文化和旅游局、玉溪高新区管委会，各县（市、区）人民政府</w:t>
            </w:r>
          </w:p>
        </w:tc>
      </w:tr>
      <w:tr>
        <w:tblPrEx>
          <w:tblLayout w:type="fixed"/>
          <w:tblCellMar>
            <w:top w:w="0" w:type="dxa"/>
            <w:left w:w="108" w:type="dxa"/>
            <w:bottom w:w="0" w:type="dxa"/>
            <w:right w:w="108" w:type="dxa"/>
          </w:tblCellMar>
        </w:tblPrEx>
        <w:trPr>
          <w:trHeight w:val="2748"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强化招商引资</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围绕10个制造业产业链，组织开展重点针对RCEP成员国的招商引资活动。</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牵头单位：市商务局、市投资促进局；配合单位：市发展改革委、市工业和信息化局、市科技局、市农业农村局、市文化和旅游局、玉溪高新区管委会，</w:t>
            </w:r>
            <w:r>
              <w:rPr>
                <w:rFonts w:hint="eastAsia" w:eastAsia="方正仿宋_GBK"/>
                <w:sz w:val="22"/>
                <w:szCs w:val="21"/>
              </w:rPr>
              <w:t>10个全产业链专班牵头单位，</w:t>
            </w:r>
            <w:r>
              <w:rPr>
                <w:rFonts w:eastAsia="方正仿宋_GBK"/>
                <w:sz w:val="22"/>
                <w:szCs w:val="21"/>
              </w:rPr>
              <w:t>各县（市、区）人民政府</w:t>
            </w:r>
          </w:p>
        </w:tc>
      </w:tr>
      <w:tr>
        <w:tblPrEx>
          <w:tblLayout w:type="fixed"/>
          <w:tblCellMar>
            <w:top w:w="0" w:type="dxa"/>
            <w:left w:w="108" w:type="dxa"/>
            <w:bottom w:w="0" w:type="dxa"/>
            <w:right w:w="108" w:type="dxa"/>
          </w:tblCellMar>
        </w:tblPrEx>
        <w:trPr>
          <w:trHeight w:val="288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（六）积极布局区域产业协作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加快承接产业转移</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eastAsia="方正仿宋_GBK"/>
                <w:spacing w:val="4"/>
                <w:sz w:val="22"/>
                <w:szCs w:val="21"/>
              </w:rPr>
            </w:pPr>
            <w:r>
              <w:rPr>
                <w:rFonts w:eastAsia="方正仿宋_GBK"/>
                <w:spacing w:val="4"/>
                <w:sz w:val="22"/>
                <w:szCs w:val="21"/>
              </w:rPr>
              <w:t>依托玉溪产业基础和劳动力、资源等优势，推动农产品加工、装备制造、高新技术、新能源电池等重点产业转移承接，引导转移产业向园区集中，进一步壮大产业规模，加快产业结构调整，培育产业新优势，构建现代产业体系。</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长期推进</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牵头单位：市商务局；配合单位：市发展改革委（市能源局）、市工业和信息化局、市科技局、市投资促进局、玉溪高新区管委会，各县（市、区）人民政府</w:t>
            </w:r>
          </w:p>
        </w:tc>
      </w:tr>
      <w:tr>
        <w:tblPrEx>
          <w:tblLayout w:type="fixed"/>
          <w:tblCellMar>
            <w:top w:w="0" w:type="dxa"/>
            <w:left w:w="108" w:type="dxa"/>
            <w:bottom w:w="0" w:type="dxa"/>
            <w:right w:w="108" w:type="dxa"/>
          </w:tblCellMar>
        </w:tblPrEx>
        <w:trPr>
          <w:trHeight w:val="2694"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（七）立体推进</w:t>
            </w:r>
            <w:r>
              <w:rPr>
                <w:rFonts w:hint="eastAsia" w:ascii="方正仿宋_GBK" w:hAnsi="方正仿宋_GBK" w:eastAsia="方正仿宋_GBK" w:cs="方正仿宋_GBK"/>
                <w:sz w:val="22"/>
                <w:szCs w:val="21"/>
              </w:rPr>
              <w:t>“通道+平台”</w:t>
            </w:r>
            <w:r>
              <w:rPr>
                <w:rFonts w:eastAsia="方正仿宋_GBK"/>
                <w:sz w:val="22"/>
                <w:szCs w:val="21"/>
              </w:rPr>
              <w:t>建设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协同发展通道枢纽与开放平台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加快铁路沿线物流集散、贸易加工等设施建设，推进中国西南·玉溪国际物流港物流园、化念综合物流园、红河谷农产品物流与交易园等项目建设，提升枢纽服务能力。</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eastAsia="方正仿宋_GBK"/>
                <w:sz w:val="22"/>
                <w:szCs w:val="21"/>
              </w:rPr>
            </w:pPr>
            <w:r>
              <w:rPr>
                <w:rFonts w:eastAsia="方正仿宋_GBK"/>
                <w:sz w:val="22"/>
                <w:szCs w:val="21"/>
              </w:rPr>
              <w:t>2023年底前</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eastAsia="方正仿宋_GBK"/>
                <w:sz w:val="22"/>
                <w:szCs w:val="21"/>
              </w:rPr>
            </w:pPr>
            <w:r>
              <w:rPr>
                <w:rFonts w:eastAsia="方正仿宋_GBK"/>
                <w:sz w:val="22"/>
                <w:szCs w:val="21"/>
              </w:rPr>
              <w:t>牵头单位：市发展改革委、市商务局；配合单位：市工业和信息化局、玉溪海关、玉溪高新区管委会，有关县（市、区）人民政府</w:t>
            </w:r>
          </w:p>
        </w:tc>
      </w:tr>
    </w:tbl>
    <w:p>
      <w:pPr>
        <w:spacing w:line="100" w:lineRule="exact"/>
        <w:rPr>
          <w:rFonts w:hint="eastAsia" w:eastAsia="方正仿宋_GBK"/>
          <w:sz w:val="32"/>
          <w:szCs w:val="32"/>
        </w:rPr>
      </w:pPr>
    </w:p>
    <w:p>
      <w:pPr>
        <w:spacing w:line="540" w:lineRule="exact"/>
        <w:rPr>
          <w:rFonts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7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character" w:styleId="6">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2022-12-12T02:04:34Z</dcterms:created>
  <dc:creator>1506</dc:creator>
  <cp:lastModifiedBy>1506</cp:lastModifiedBy>
  <dcterms:modified xsi:type="dcterms:W3CDTF">2022-12-12T02:29:47Z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